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851E9" w14:textId="77777777" w:rsidR="00005CF2" w:rsidRPr="000752F3" w:rsidRDefault="00005CF2" w:rsidP="00005CF2">
      <w:pPr>
        <w:spacing w:after="0" w:line="240" w:lineRule="auto"/>
        <w:ind w:left="0" w:firstLine="0"/>
        <w:rPr>
          <w:szCs w:val="24"/>
        </w:rPr>
      </w:pPr>
    </w:p>
    <w:p w14:paraId="649B3A40" w14:textId="217881BC" w:rsidR="00005CF2" w:rsidRPr="000752F3" w:rsidRDefault="000D70C5" w:rsidP="00005CF2">
      <w:pPr>
        <w:pStyle w:val="Ttulo1"/>
        <w:spacing w:line="240" w:lineRule="auto"/>
        <w:rPr>
          <w:szCs w:val="24"/>
        </w:rPr>
      </w:pPr>
      <w:r w:rsidRPr="000752F3">
        <w:rPr>
          <w:szCs w:val="24"/>
        </w:rPr>
        <w:t>EXONERAÇÃO</w:t>
      </w:r>
    </w:p>
    <w:p w14:paraId="32168497" w14:textId="77777777" w:rsidR="00005CF2" w:rsidRPr="000752F3" w:rsidRDefault="00005CF2" w:rsidP="00005CF2">
      <w:pPr>
        <w:spacing w:after="0" w:line="240" w:lineRule="auto"/>
        <w:ind w:left="0" w:firstLine="0"/>
        <w:rPr>
          <w:szCs w:val="24"/>
        </w:rPr>
      </w:pPr>
      <w:r w:rsidRPr="000752F3">
        <w:rPr>
          <w:szCs w:val="24"/>
        </w:rPr>
        <w:t xml:space="preserve"> </w:t>
      </w:r>
    </w:p>
    <w:p w14:paraId="24E95871" w14:textId="77777777" w:rsidR="00005CF2" w:rsidRPr="000752F3" w:rsidRDefault="00005CF2" w:rsidP="00005CF2">
      <w:pPr>
        <w:pStyle w:val="Ttulo1"/>
        <w:spacing w:line="240" w:lineRule="auto"/>
        <w:jc w:val="both"/>
        <w:rPr>
          <w:szCs w:val="24"/>
        </w:rPr>
      </w:pPr>
      <w:r w:rsidRPr="000752F3">
        <w:rPr>
          <w:szCs w:val="24"/>
        </w:rPr>
        <w:t>DEFINIÇÃO</w:t>
      </w:r>
    </w:p>
    <w:p w14:paraId="0D220E1D" w14:textId="4B393D95" w:rsidR="000D70C5" w:rsidRPr="000752F3" w:rsidRDefault="000D70C5" w:rsidP="000D70C5">
      <w:pPr>
        <w:spacing w:after="0" w:line="240" w:lineRule="auto"/>
        <w:ind w:left="0" w:firstLine="0"/>
        <w:rPr>
          <w:szCs w:val="24"/>
        </w:rPr>
      </w:pPr>
      <w:r w:rsidRPr="000752F3">
        <w:rPr>
          <w:szCs w:val="24"/>
        </w:rPr>
        <w:t>Forma de vacância de cargo público, decorrente do desligamento definitivo do Serviço Público</w:t>
      </w:r>
      <w:r w:rsidR="008C64BB">
        <w:rPr>
          <w:szCs w:val="24"/>
        </w:rPr>
        <w:t xml:space="preserve"> </w:t>
      </w:r>
      <w:r w:rsidRPr="000752F3">
        <w:rPr>
          <w:szCs w:val="24"/>
        </w:rPr>
        <w:t>Federal, extinguindo a vinculação jurídica existente entre o servidor e a entidade onde se encontra lotado.</w:t>
      </w:r>
    </w:p>
    <w:p w14:paraId="48F3071B" w14:textId="78DE4EDF" w:rsidR="00005CF2" w:rsidRPr="000752F3" w:rsidRDefault="00005CF2" w:rsidP="00005CF2">
      <w:pPr>
        <w:spacing w:after="0" w:line="240" w:lineRule="auto"/>
        <w:ind w:left="0" w:firstLine="0"/>
        <w:rPr>
          <w:b/>
          <w:szCs w:val="24"/>
        </w:rPr>
      </w:pPr>
    </w:p>
    <w:p w14:paraId="300F91D9" w14:textId="77777777" w:rsidR="00005CF2" w:rsidRPr="000752F3" w:rsidRDefault="00005CF2" w:rsidP="00005CF2">
      <w:pPr>
        <w:spacing w:after="0" w:line="240" w:lineRule="auto"/>
        <w:ind w:left="0" w:firstLine="0"/>
        <w:rPr>
          <w:b/>
          <w:szCs w:val="24"/>
        </w:rPr>
      </w:pPr>
    </w:p>
    <w:p w14:paraId="605AF87D" w14:textId="351EAC33" w:rsidR="00005CF2" w:rsidRPr="000752F3" w:rsidRDefault="000D70C5" w:rsidP="00005CF2">
      <w:pPr>
        <w:spacing w:after="86"/>
        <w:ind w:left="0" w:firstLine="0"/>
        <w:rPr>
          <w:szCs w:val="24"/>
        </w:rPr>
      </w:pPr>
      <w:r w:rsidRPr="000752F3">
        <w:rPr>
          <w:b/>
          <w:szCs w:val="24"/>
        </w:rPr>
        <w:t>O QUE DEVO SABER?</w:t>
      </w:r>
    </w:p>
    <w:p w14:paraId="3F012479" w14:textId="7E61AF5C" w:rsidR="000D70C5" w:rsidRPr="000752F3" w:rsidRDefault="000D70C5" w:rsidP="000D70C5">
      <w:pPr>
        <w:pStyle w:val="PargrafodaLista"/>
        <w:ind w:left="0" w:firstLine="0"/>
        <w:rPr>
          <w:bCs/>
          <w:szCs w:val="24"/>
        </w:rPr>
      </w:pPr>
      <w:r w:rsidRPr="000752F3">
        <w:rPr>
          <w:bCs/>
          <w:szCs w:val="24"/>
        </w:rPr>
        <w:t xml:space="preserve">Não será </w:t>
      </w:r>
      <w:r w:rsidR="009D31B3" w:rsidRPr="000752F3">
        <w:rPr>
          <w:bCs/>
          <w:szCs w:val="24"/>
        </w:rPr>
        <w:t xml:space="preserve">concedida exoneração </w:t>
      </w:r>
      <w:r w:rsidR="00EB2687">
        <w:rPr>
          <w:bCs/>
          <w:szCs w:val="24"/>
        </w:rPr>
        <w:t>ao</w:t>
      </w:r>
      <w:r w:rsidR="009D31B3" w:rsidRPr="000752F3">
        <w:rPr>
          <w:bCs/>
          <w:szCs w:val="24"/>
        </w:rPr>
        <w:t>(</w:t>
      </w:r>
      <w:r w:rsidR="00EB2687">
        <w:rPr>
          <w:bCs/>
          <w:szCs w:val="24"/>
        </w:rPr>
        <w:t>à</w:t>
      </w:r>
      <w:r w:rsidR="009D31B3" w:rsidRPr="000752F3">
        <w:rPr>
          <w:bCs/>
          <w:szCs w:val="24"/>
        </w:rPr>
        <w:t>)</w:t>
      </w:r>
      <w:r w:rsidRPr="000752F3">
        <w:rPr>
          <w:bCs/>
          <w:szCs w:val="24"/>
        </w:rPr>
        <w:t xml:space="preserve"> servidor(a) beneficiado(a) com afastamento para estudo ou missão no exterior ou no país para participação em programa de Pós Graduação Stricto Sensu, antes de decorrido período igual ao do afastamento, ressalvada a hipótese de ressarcimento da despesa havida com seu afastamento.</w:t>
      </w:r>
    </w:p>
    <w:p w14:paraId="29E1048F" w14:textId="77777777" w:rsidR="000D70C5" w:rsidRPr="000752F3" w:rsidRDefault="000D70C5" w:rsidP="000D70C5">
      <w:pPr>
        <w:pStyle w:val="PargrafodaLista"/>
        <w:ind w:left="0" w:firstLine="0"/>
        <w:rPr>
          <w:bCs/>
          <w:szCs w:val="24"/>
        </w:rPr>
      </w:pPr>
    </w:p>
    <w:p w14:paraId="101DF4B8" w14:textId="10BC49D4" w:rsidR="00005CF2" w:rsidRPr="000752F3" w:rsidRDefault="000D70C5" w:rsidP="000D70C5">
      <w:pPr>
        <w:pStyle w:val="PargrafodaLista"/>
        <w:ind w:left="0" w:firstLine="0"/>
        <w:rPr>
          <w:bCs/>
          <w:szCs w:val="24"/>
        </w:rPr>
      </w:pPr>
      <w:r w:rsidRPr="000752F3">
        <w:rPr>
          <w:bCs/>
          <w:szCs w:val="24"/>
        </w:rPr>
        <w:t>O(A) servidor(a) que responde a processo administrativo disciplinar, somente poderá ser exonerado a pedido, após a conclusão do processo e o cumprimento da penalidade, caso aplicada.</w:t>
      </w:r>
    </w:p>
    <w:p w14:paraId="564F3F16" w14:textId="39340D54" w:rsidR="000D70C5" w:rsidRPr="000752F3" w:rsidRDefault="000D70C5" w:rsidP="000D70C5">
      <w:pPr>
        <w:pStyle w:val="PargrafodaLista"/>
        <w:ind w:left="0" w:firstLine="0"/>
        <w:rPr>
          <w:bCs/>
          <w:szCs w:val="24"/>
        </w:rPr>
      </w:pPr>
    </w:p>
    <w:p w14:paraId="1CF01D4B" w14:textId="5668F270" w:rsidR="000D70C5" w:rsidRPr="000752F3" w:rsidRDefault="000D70C5" w:rsidP="000D70C5">
      <w:pPr>
        <w:pStyle w:val="PargrafodaLista"/>
        <w:ind w:left="0" w:firstLine="0"/>
        <w:rPr>
          <w:bCs/>
          <w:szCs w:val="24"/>
        </w:rPr>
      </w:pPr>
      <w:r w:rsidRPr="000752F3">
        <w:rPr>
          <w:bCs/>
          <w:szCs w:val="24"/>
        </w:rPr>
        <w:t>O(A) servidor(a) em débito com o erário que for exonerado, terá o prazo de 60 dias para quitar o débito, sob pena de inscrição na dívida ativa da união.</w:t>
      </w:r>
    </w:p>
    <w:p w14:paraId="223D4DDB" w14:textId="24E089BA" w:rsidR="000D70C5" w:rsidRPr="000752F3" w:rsidRDefault="000D70C5" w:rsidP="000D70C5">
      <w:pPr>
        <w:pStyle w:val="PargrafodaLista"/>
        <w:ind w:left="0" w:firstLine="0"/>
        <w:rPr>
          <w:bCs/>
          <w:szCs w:val="24"/>
        </w:rPr>
      </w:pPr>
    </w:p>
    <w:p w14:paraId="1F24B6FB" w14:textId="5B19BCA8" w:rsidR="000D70C5" w:rsidRPr="000752F3" w:rsidRDefault="000D70C5" w:rsidP="000D70C5">
      <w:pPr>
        <w:pStyle w:val="PargrafodaLista"/>
        <w:ind w:left="0" w:firstLine="0"/>
        <w:rPr>
          <w:szCs w:val="24"/>
        </w:rPr>
      </w:pPr>
      <w:r w:rsidRPr="000752F3">
        <w:rPr>
          <w:szCs w:val="24"/>
        </w:rPr>
        <w:t>Será restituída a ajuda de custo, quando, antes de decorridos três meses do deslocamento, o servidor regressar, pedir exoneração ou abandonar o serviço.</w:t>
      </w:r>
    </w:p>
    <w:p w14:paraId="50AB6AF5" w14:textId="77777777" w:rsidR="000D70C5" w:rsidRPr="000752F3" w:rsidRDefault="000D70C5" w:rsidP="000D70C5">
      <w:pPr>
        <w:pStyle w:val="PargrafodaLista"/>
        <w:ind w:left="0" w:firstLine="0"/>
        <w:rPr>
          <w:szCs w:val="24"/>
        </w:rPr>
      </w:pPr>
    </w:p>
    <w:p w14:paraId="55105CC4" w14:textId="56732928" w:rsidR="000D70C5" w:rsidRPr="000752F3" w:rsidRDefault="000D70C5" w:rsidP="000D70C5">
      <w:pPr>
        <w:pStyle w:val="PargrafodaLista"/>
        <w:ind w:left="0" w:firstLine="0"/>
        <w:rPr>
          <w:bCs/>
          <w:szCs w:val="24"/>
        </w:rPr>
      </w:pPr>
      <w:r w:rsidRPr="000752F3">
        <w:rPr>
          <w:szCs w:val="24"/>
        </w:rPr>
        <w:t>O servidor afastado para tratamento de saúde não pode ser exonerado.</w:t>
      </w:r>
    </w:p>
    <w:p w14:paraId="73E9A4AF" w14:textId="10B0D9DC" w:rsidR="000D70C5" w:rsidRPr="000752F3" w:rsidRDefault="000D70C5" w:rsidP="00005CF2">
      <w:pPr>
        <w:pStyle w:val="Ttulo1"/>
        <w:spacing w:line="240" w:lineRule="auto"/>
        <w:jc w:val="both"/>
        <w:rPr>
          <w:szCs w:val="24"/>
        </w:rPr>
      </w:pPr>
    </w:p>
    <w:p w14:paraId="4D427441" w14:textId="0C78947F" w:rsidR="008166DB" w:rsidRPr="000752F3" w:rsidRDefault="008166DB" w:rsidP="008166DB">
      <w:pPr>
        <w:spacing w:after="86"/>
        <w:ind w:left="0" w:firstLine="0"/>
        <w:rPr>
          <w:b/>
          <w:szCs w:val="24"/>
        </w:rPr>
      </w:pPr>
      <w:r w:rsidRPr="000752F3">
        <w:rPr>
          <w:b/>
          <w:szCs w:val="24"/>
        </w:rPr>
        <w:t>O que devo fazer para solicitar exoneração?</w:t>
      </w:r>
    </w:p>
    <w:p w14:paraId="0972B430" w14:textId="77777777" w:rsidR="008166DB" w:rsidRPr="000752F3" w:rsidRDefault="008166DB" w:rsidP="008166DB">
      <w:pPr>
        <w:rPr>
          <w:szCs w:val="24"/>
        </w:rPr>
      </w:pPr>
    </w:p>
    <w:p w14:paraId="10774F5C" w14:textId="778B7324" w:rsidR="008166DB" w:rsidRPr="00886BB7" w:rsidRDefault="008166DB" w:rsidP="008166DB">
      <w:pPr>
        <w:rPr>
          <w:color w:val="000000" w:themeColor="text1"/>
          <w:szCs w:val="24"/>
        </w:rPr>
      </w:pPr>
      <w:r w:rsidRPr="00886BB7">
        <w:rPr>
          <w:color w:val="000000" w:themeColor="text1"/>
          <w:szCs w:val="24"/>
        </w:rPr>
        <w:t xml:space="preserve">1. Solicitação do interessado, (preencher formulário próprio, disponível </w:t>
      </w:r>
      <w:hyperlink r:id="rId7" w:history="1">
        <w:r w:rsidR="00DE1D4A" w:rsidRPr="00DE1D4A">
          <w:rPr>
            <w:rStyle w:val="Hyperlink"/>
            <w:szCs w:val="24"/>
          </w:rPr>
          <w:t>aqui</w:t>
        </w:r>
      </w:hyperlink>
      <w:r w:rsidRPr="00886BB7">
        <w:rPr>
          <w:color w:val="000000" w:themeColor="text1"/>
          <w:szCs w:val="24"/>
        </w:rPr>
        <w:t>;</w:t>
      </w:r>
    </w:p>
    <w:p w14:paraId="588F2132" w14:textId="5B6482FC" w:rsidR="008166DB" w:rsidRPr="000752F3" w:rsidRDefault="008166DB" w:rsidP="008166DB">
      <w:pPr>
        <w:rPr>
          <w:szCs w:val="24"/>
        </w:rPr>
      </w:pPr>
      <w:r w:rsidRPr="000752F3">
        <w:rPr>
          <w:szCs w:val="24"/>
        </w:rPr>
        <w:t>2. Anexar declaração de que não responde a Processo Administrativo Disciplinar;</w:t>
      </w:r>
      <w:r w:rsidR="00385E57" w:rsidRPr="000752F3">
        <w:rPr>
          <w:szCs w:val="24"/>
        </w:rPr>
        <w:t xml:space="preserve"> (</w:t>
      </w:r>
      <w:r w:rsidR="00385E57" w:rsidRPr="000752F3">
        <w:rPr>
          <w:color w:val="auto"/>
          <w:szCs w:val="24"/>
        </w:rPr>
        <w:t>solicitar ao Núcleo de Admissibilidade e Acompanhamento de Procedimentos Disciplinares – NUAADIS</w:t>
      </w:r>
      <w:r w:rsidR="00385E57" w:rsidRPr="000752F3">
        <w:rPr>
          <w:color w:val="6FA8DC"/>
          <w:szCs w:val="24"/>
        </w:rPr>
        <w:t xml:space="preserve">, </w:t>
      </w:r>
      <w:hyperlink r:id="rId8" w:history="1">
        <w:r w:rsidR="00385E57" w:rsidRPr="000752F3">
          <w:rPr>
            <w:rStyle w:val="Hyperlink"/>
            <w:szCs w:val="24"/>
          </w:rPr>
          <w:t>nuaadis@reitoria.ufrb.edu.br</w:t>
        </w:r>
      </w:hyperlink>
      <w:r w:rsidR="00385E57" w:rsidRPr="000752F3">
        <w:rPr>
          <w:rStyle w:val="go"/>
          <w:szCs w:val="24"/>
        </w:rPr>
        <w:t>;</w:t>
      </w:r>
    </w:p>
    <w:p w14:paraId="4C555578" w14:textId="51E40C09" w:rsidR="008166DB" w:rsidRPr="000752F3" w:rsidRDefault="008166DB" w:rsidP="008166DB">
      <w:pPr>
        <w:rPr>
          <w:szCs w:val="24"/>
        </w:rPr>
      </w:pPr>
      <w:r w:rsidRPr="000752F3">
        <w:rPr>
          <w:szCs w:val="24"/>
        </w:rPr>
        <w:t>3. Apresentar Declaração de Débito Patrimonial</w:t>
      </w:r>
      <w:r w:rsidR="00452727" w:rsidRPr="000752F3">
        <w:rPr>
          <w:szCs w:val="24"/>
        </w:rPr>
        <w:t xml:space="preserve"> (Nada Consta)</w:t>
      </w:r>
      <w:r w:rsidRPr="000752F3">
        <w:rPr>
          <w:szCs w:val="24"/>
        </w:rPr>
        <w:t xml:space="preserve"> (</w:t>
      </w:r>
      <w:r w:rsidR="00385E57" w:rsidRPr="000752F3">
        <w:rPr>
          <w:szCs w:val="24"/>
        </w:rPr>
        <w:t xml:space="preserve">solicitar ao Núcleo de Gestão de Patrimônio da PROAD, </w:t>
      </w:r>
      <w:hyperlink r:id="rId9" w:history="1">
        <w:r w:rsidR="00385E57" w:rsidRPr="000752F3">
          <w:rPr>
            <w:rStyle w:val="Hyperlink"/>
            <w:szCs w:val="24"/>
          </w:rPr>
          <w:t>nugpat@proad.ufrb.edu.br</w:t>
        </w:r>
      </w:hyperlink>
      <w:r w:rsidR="00385E57" w:rsidRPr="000752F3">
        <w:rPr>
          <w:rStyle w:val="Hyperlink"/>
          <w:szCs w:val="24"/>
        </w:rPr>
        <w:t>);</w:t>
      </w:r>
    </w:p>
    <w:p w14:paraId="6541D461" w14:textId="3828BB5F" w:rsidR="008166DB" w:rsidRPr="000752F3" w:rsidRDefault="008166DB" w:rsidP="008166DB">
      <w:pPr>
        <w:rPr>
          <w:szCs w:val="24"/>
        </w:rPr>
      </w:pPr>
      <w:r w:rsidRPr="000752F3">
        <w:rPr>
          <w:szCs w:val="24"/>
        </w:rPr>
        <w:t>4. Apresentar Declaração de regularidade da Biblioteca Central ou Setorial;</w:t>
      </w:r>
    </w:p>
    <w:p w14:paraId="4D244DAA" w14:textId="646DCF9E" w:rsidR="008166DB" w:rsidRPr="000752F3" w:rsidRDefault="008166DB" w:rsidP="008166DB">
      <w:pPr>
        <w:rPr>
          <w:szCs w:val="24"/>
        </w:rPr>
      </w:pPr>
      <w:r w:rsidRPr="000752F3">
        <w:rPr>
          <w:szCs w:val="24"/>
        </w:rPr>
        <w:t xml:space="preserve">5. Anexar </w:t>
      </w:r>
      <w:r w:rsidR="009551D4">
        <w:rPr>
          <w:szCs w:val="24"/>
        </w:rPr>
        <w:t xml:space="preserve">comprovante de entrega de </w:t>
      </w:r>
      <w:r w:rsidRPr="000752F3">
        <w:rPr>
          <w:szCs w:val="24"/>
        </w:rPr>
        <w:t>Autorização de acesso aos dados de bens e rendas</w:t>
      </w:r>
      <w:r w:rsidR="00A731EA">
        <w:rPr>
          <w:szCs w:val="24"/>
        </w:rPr>
        <w:t>,</w:t>
      </w:r>
      <w:r w:rsidR="009551D4">
        <w:rPr>
          <w:szCs w:val="24"/>
        </w:rPr>
        <w:t xml:space="preserve"> através do </w:t>
      </w:r>
      <w:hyperlink r:id="rId10" w:history="1">
        <w:r w:rsidR="009551D4" w:rsidRPr="009551D4">
          <w:rPr>
            <w:rStyle w:val="Hyperlink"/>
            <w:szCs w:val="24"/>
          </w:rPr>
          <w:t>e-</w:t>
        </w:r>
        <w:proofErr w:type="spellStart"/>
        <w:r w:rsidR="009551D4" w:rsidRPr="009551D4">
          <w:rPr>
            <w:rStyle w:val="Hyperlink"/>
            <w:szCs w:val="24"/>
          </w:rPr>
          <w:t>Patri</w:t>
        </w:r>
        <w:proofErr w:type="spellEnd"/>
      </w:hyperlink>
      <w:r w:rsidR="009551D4">
        <w:rPr>
          <w:szCs w:val="24"/>
        </w:rPr>
        <w:t xml:space="preserve"> ou do </w:t>
      </w:r>
      <w:hyperlink r:id="rId11" w:history="1">
        <w:proofErr w:type="spellStart"/>
        <w:r w:rsidR="009551D4" w:rsidRPr="00087A72">
          <w:rPr>
            <w:rStyle w:val="Hyperlink"/>
            <w:szCs w:val="24"/>
          </w:rPr>
          <w:t>SouGov</w:t>
        </w:r>
        <w:proofErr w:type="spellEnd"/>
      </w:hyperlink>
      <w:r w:rsidRPr="000752F3">
        <w:rPr>
          <w:szCs w:val="24"/>
        </w:rPr>
        <w:t>;</w:t>
      </w:r>
    </w:p>
    <w:p w14:paraId="04C45C09" w14:textId="77777777" w:rsidR="008166DB" w:rsidRPr="000752F3" w:rsidRDefault="008166DB" w:rsidP="008166DB">
      <w:pPr>
        <w:rPr>
          <w:szCs w:val="24"/>
        </w:rPr>
      </w:pPr>
    </w:p>
    <w:p w14:paraId="684201B2" w14:textId="2DD8DED7" w:rsidR="00005CF2" w:rsidRPr="000752F3" w:rsidRDefault="00005CF2" w:rsidP="00005CF2">
      <w:pPr>
        <w:pStyle w:val="Ttulo1"/>
        <w:spacing w:line="240" w:lineRule="auto"/>
        <w:jc w:val="both"/>
        <w:rPr>
          <w:szCs w:val="24"/>
        </w:rPr>
      </w:pPr>
      <w:r w:rsidRPr="000752F3">
        <w:rPr>
          <w:szCs w:val="24"/>
        </w:rPr>
        <w:t>BASE LEGAL</w:t>
      </w:r>
    </w:p>
    <w:p w14:paraId="56ECF8F1" w14:textId="147E73E7" w:rsidR="000D70C5" w:rsidRPr="000D70C5" w:rsidRDefault="000D70C5" w:rsidP="000D70C5">
      <w:pPr>
        <w:spacing w:after="0" w:line="240" w:lineRule="auto"/>
        <w:ind w:left="0" w:firstLine="0"/>
        <w:rPr>
          <w:color w:val="0070C0"/>
          <w:sz w:val="18"/>
          <w:szCs w:val="18"/>
        </w:rPr>
      </w:pPr>
      <w:r w:rsidRPr="000D70C5">
        <w:rPr>
          <w:color w:val="0070C0"/>
          <w:sz w:val="18"/>
          <w:szCs w:val="18"/>
        </w:rPr>
        <w:t>Art. 47 da Lei nº 8.112/90</w:t>
      </w:r>
    </w:p>
    <w:p w14:paraId="1EF66615" w14:textId="5EE84C17" w:rsidR="000D70C5" w:rsidRPr="000D70C5" w:rsidRDefault="000D70C5" w:rsidP="000D70C5">
      <w:pPr>
        <w:spacing w:after="0" w:line="240" w:lineRule="auto"/>
        <w:ind w:left="0" w:firstLine="0"/>
        <w:rPr>
          <w:color w:val="0070C0"/>
          <w:sz w:val="18"/>
          <w:szCs w:val="18"/>
        </w:rPr>
      </w:pPr>
      <w:r w:rsidRPr="000D70C5">
        <w:rPr>
          <w:color w:val="0070C0"/>
          <w:sz w:val="18"/>
          <w:szCs w:val="18"/>
        </w:rPr>
        <w:t>Art. 95, § 2º, e art. 96-A, § 5º da Lei nº 8.112/90</w:t>
      </w:r>
    </w:p>
    <w:p w14:paraId="59709713" w14:textId="22792332" w:rsidR="000D70C5" w:rsidRPr="000D70C5" w:rsidRDefault="000D70C5" w:rsidP="000D70C5">
      <w:pPr>
        <w:spacing w:after="0" w:line="240" w:lineRule="auto"/>
        <w:ind w:left="0" w:firstLine="0"/>
        <w:rPr>
          <w:color w:val="0070C0"/>
          <w:sz w:val="18"/>
          <w:szCs w:val="18"/>
        </w:rPr>
      </w:pPr>
      <w:r w:rsidRPr="000D70C5">
        <w:rPr>
          <w:color w:val="0070C0"/>
          <w:sz w:val="18"/>
          <w:szCs w:val="18"/>
        </w:rPr>
        <w:t>Art. 172, da Lei nº 8.112/90</w:t>
      </w:r>
    </w:p>
    <w:p w14:paraId="7616881C" w14:textId="55CB2CE4" w:rsidR="000D70C5" w:rsidRPr="000D70C5" w:rsidRDefault="000D70C5" w:rsidP="000D70C5">
      <w:pPr>
        <w:spacing w:after="0" w:line="240" w:lineRule="auto"/>
        <w:ind w:left="0" w:firstLine="0"/>
        <w:rPr>
          <w:color w:val="0070C0"/>
          <w:sz w:val="18"/>
          <w:szCs w:val="18"/>
        </w:rPr>
      </w:pPr>
      <w:r w:rsidRPr="000D70C5">
        <w:rPr>
          <w:color w:val="0070C0"/>
          <w:sz w:val="18"/>
          <w:szCs w:val="18"/>
        </w:rPr>
        <w:t>Orientação Normativa SE</w:t>
      </w:r>
      <w:r w:rsidR="006D6395">
        <w:rPr>
          <w:color w:val="0070C0"/>
          <w:sz w:val="18"/>
          <w:szCs w:val="18"/>
        </w:rPr>
        <w:t>G</w:t>
      </w:r>
      <w:r w:rsidRPr="000D70C5">
        <w:rPr>
          <w:color w:val="0070C0"/>
          <w:sz w:val="18"/>
          <w:szCs w:val="18"/>
        </w:rPr>
        <w:t>EP/MPOG N°3/2013</w:t>
      </w:r>
    </w:p>
    <w:sectPr w:rsidR="000D70C5" w:rsidRPr="000D70C5">
      <w:headerReference w:type="default" r:id="rId12"/>
      <w:footerReference w:type="default" r:id="rId13"/>
      <w:pgSz w:w="11906" w:h="16841"/>
      <w:pgMar w:top="720" w:right="1129" w:bottom="718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9EA2A" w14:textId="77777777" w:rsidR="002A6402" w:rsidRDefault="002A6402" w:rsidP="008A0154">
      <w:pPr>
        <w:spacing w:after="0" w:line="240" w:lineRule="auto"/>
      </w:pPr>
      <w:r>
        <w:separator/>
      </w:r>
    </w:p>
  </w:endnote>
  <w:endnote w:type="continuationSeparator" w:id="0">
    <w:p w14:paraId="4F8C933C" w14:textId="77777777" w:rsidR="002A6402" w:rsidRDefault="002A6402" w:rsidP="008A0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6610C" w14:textId="77777777" w:rsidR="008A0154" w:rsidRPr="000B38B9" w:rsidRDefault="008A0154" w:rsidP="008A0154">
    <w:pPr>
      <w:pStyle w:val="Rodap"/>
      <w:pBdr>
        <w:top w:val="threeDEngrave" w:sz="24" w:space="1" w:color="auto"/>
      </w:pBdr>
      <w:jc w:val="center"/>
      <w:rPr>
        <w:sz w:val="20"/>
        <w:szCs w:val="20"/>
      </w:rPr>
    </w:pPr>
    <w:r w:rsidRPr="000B38B9">
      <w:rPr>
        <w:sz w:val="20"/>
        <w:szCs w:val="20"/>
      </w:rPr>
      <w:t>Campus Universitário de Cruz das Almas, s/n – CEP: 44.380.000 – Cruz das Almas – B</w:t>
    </w:r>
    <w:r>
      <w:rPr>
        <w:sz w:val="20"/>
        <w:szCs w:val="20"/>
      </w:rPr>
      <w:t>A</w:t>
    </w:r>
    <w:r w:rsidRPr="000B38B9">
      <w:rPr>
        <w:sz w:val="20"/>
        <w:szCs w:val="20"/>
      </w:rPr>
      <w:t>.</w:t>
    </w:r>
  </w:p>
  <w:p w14:paraId="22A362D5" w14:textId="7774A216" w:rsidR="008A0154" w:rsidRPr="008A0154" w:rsidRDefault="008A0154" w:rsidP="008A0154">
    <w:pPr>
      <w:pStyle w:val="Rodap"/>
      <w:pBdr>
        <w:top w:val="threeDEngrave" w:sz="24" w:space="1" w:color="auto"/>
      </w:pBdr>
      <w:jc w:val="center"/>
      <w:rPr>
        <w:sz w:val="20"/>
        <w:szCs w:val="20"/>
        <w:lang w:val="en-US"/>
      </w:rPr>
    </w:pPr>
    <w:r w:rsidRPr="000B38B9">
      <w:rPr>
        <w:sz w:val="20"/>
        <w:szCs w:val="20"/>
        <w:lang w:val="en-US"/>
      </w:rPr>
      <w:t>Tel.: (75) 36</w:t>
    </w:r>
    <w:r>
      <w:rPr>
        <w:sz w:val="20"/>
        <w:szCs w:val="20"/>
        <w:lang w:val="en-US"/>
      </w:rPr>
      <w:t>73-0552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09250" w14:textId="77777777" w:rsidR="002A6402" w:rsidRDefault="002A6402" w:rsidP="008A0154">
      <w:pPr>
        <w:spacing w:after="0" w:line="240" w:lineRule="auto"/>
      </w:pPr>
      <w:r>
        <w:separator/>
      </w:r>
    </w:p>
  </w:footnote>
  <w:footnote w:type="continuationSeparator" w:id="0">
    <w:p w14:paraId="7F2C058E" w14:textId="77777777" w:rsidR="002A6402" w:rsidRDefault="002A6402" w:rsidP="008A0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C108F" w14:textId="77777777" w:rsidR="008A0154" w:rsidRDefault="008A0154" w:rsidP="008A0154">
    <w:pPr>
      <w:spacing w:after="0" w:line="240" w:lineRule="auto"/>
      <w:ind w:left="0" w:firstLine="0"/>
      <w:jc w:val="center"/>
    </w:pPr>
    <w:bookmarkStart w:id="0" w:name="_Hlk80191345"/>
    <w:bookmarkStart w:id="1" w:name="_Hlk80191346"/>
    <w:r>
      <w:rPr>
        <w:noProof/>
      </w:rPr>
      <w:drawing>
        <wp:inline distT="0" distB="0" distL="0" distR="0" wp14:anchorId="556C8403" wp14:editId="3F1139BC">
          <wp:extent cx="790575" cy="390525"/>
          <wp:effectExtent l="0" t="0" r="9525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5" t="-116" r="-55" b="-116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3905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BC42055" w14:textId="77777777" w:rsidR="008A0154" w:rsidRDefault="008A0154" w:rsidP="008A0154">
    <w:pPr>
      <w:spacing w:after="0" w:line="240" w:lineRule="auto"/>
      <w:ind w:left="0" w:firstLine="0"/>
      <w:jc w:val="center"/>
    </w:pPr>
    <w:r>
      <w:t>MINISTÉRIO DA EDUCAÇÃO</w:t>
    </w:r>
  </w:p>
  <w:p w14:paraId="6E19234F" w14:textId="77777777" w:rsidR="008A0154" w:rsidRDefault="008A0154" w:rsidP="008A0154">
    <w:pPr>
      <w:spacing w:after="0" w:line="240" w:lineRule="auto"/>
      <w:ind w:left="0" w:firstLine="0"/>
      <w:jc w:val="center"/>
    </w:pPr>
    <w:r>
      <w:t>UNIVERSIDADE FEDERAL DO RECÔNCAVO DA BAHIA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72B3C"/>
    <w:multiLevelType w:val="hybridMultilevel"/>
    <w:tmpl w:val="C178C4E6"/>
    <w:lvl w:ilvl="0" w:tplc="21C6211C">
      <w:start w:val="1"/>
      <w:numFmt w:val="upperRoman"/>
      <w:lvlText w:val="%1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A1148">
      <w:start w:val="1"/>
      <w:numFmt w:val="decimal"/>
      <w:lvlText w:val="%2."/>
      <w:lvlJc w:val="left"/>
      <w:pPr>
        <w:ind w:left="6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5409E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640FA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3E6F3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8EE39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08A24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FE771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60628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086551"/>
    <w:multiLevelType w:val="hybridMultilevel"/>
    <w:tmpl w:val="A198F7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31B44"/>
    <w:multiLevelType w:val="hybridMultilevel"/>
    <w:tmpl w:val="5142DF76"/>
    <w:lvl w:ilvl="0" w:tplc="65B8C4AA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20988E">
      <w:start w:val="1"/>
      <w:numFmt w:val="lowerLetter"/>
      <w:lvlText w:val="%2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5EC752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3C8B02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CC3802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82487A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5622D4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D47F64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52C0D2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79298D"/>
    <w:multiLevelType w:val="hybridMultilevel"/>
    <w:tmpl w:val="5FF0D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eLQztZCn1DQ7iasEZFPbH7fpeQYVXNaq68sHWDLfcGOd4fPcS/VhZVnw40J9kQWFKEihkZEE54UBGYqyqyKXig==" w:salt="1alVzrbqNW9bmZBWve4RX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694"/>
    <w:rsid w:val="00005CF2"/>
    <w:rsid w:val="000752F3"/>
    <w:rsid w:val="00087A72"/>
    <w:rsid w:val="000D70C5"/>
    <w:rsid w:val="000E1672"/>
    <w:rsid w:val="00236856"/>
    <w:rsid w:val="002A6402"/>
    <w:rsid w:val="00385E57"/>
    <w:rsid w:val="00452727"/>
    <w:rsid w:val="004F26DB"/>
    <w:rsid w:val="0054480A"/>
    <w:rsid w:val="006D6395"/>
    <w:rsid w:val="00715887"/>
    <w:rsid w:val="007F1A2F"/>
    <w:rsid w:val="008166DB"/>
    <w:rsid w:val="00843011"/>
    <w:rsid w:val="00886BB7"/>
    <w:rsid w:val="008A0154"/>
    <w:rsid w:val="008C64BB"/>
    <w:rsid w:val="00911AB8"/>
    <w:rsid w:val="009551D4"/>
    <w:rsid w:val="009D31B3"/>
    <w:rsid w:val="00A32985"/>
    <w:rsid w:val="00A731EA"/>
    <w:rsid w:val="00B24126"/>
    <w:rsid w:val="00B630F6"/>
    <w:rsid w:val="00B72879"/>
    <w:rsid w:val="00BC491C"/>
    <w:rsid w:val="00BC5C4D"/>
    <w:rsid w:val="00BE0B56"/>
    <w:rsid w:val="00C636CF"/>
    <w:rsid w:val="00CD4694"/>
    <w:rsid w:val="00DE1D4A"/>
    <w:rsid w:val="00E251DE"/>
    <w:rsid w:val="00E51AF5"/>
    <w:rsid w:val="00EB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8097"/>
  <w15:docId w15:val="{8F668C97-08EA-461B-B00F-29F18E40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8" w:line="250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8A01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0154"/>
    <w:rPr>
      <w:rFonts w:ascii="Arial" w:eastAsia="Arial" w:hAnsi="Arial" w:cs="Arial"/>
      <w:color w:val="000000"/>
      <w:sz w:val="24"/>
    </w:rPr>
  </w:style>
  <w:style w:type="paragraph" w:styleId="Rodap">
    <w:name w:val="footer"/>
    <w:basedOn w:val="Normal"/>
    <w:link w:val="RodapChar"/>
    <w:unhideWhenUsed/>
    <w:rsid w:val="008A01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A0154"/>
    <w:rPr>
      <w:rFonts w:ascii="Arial" w:eastAsia="Arial" w:hAnsi="Arial" w:cs="Arial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8A015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C5C4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7287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72879"/>
    <w:rPr>
      <w:color w:val="954F72" w:themeColor="followedHyperlink"/>
      <w:u w:val="single"/>
    </w:rPr>
  </w:style>
  <w:style w:type="character" w:customStyle="1" w:styleId="go">
    <w:name w:val="go"/>
    <w:basedOn w:val="Fontepargpadro"/>
    <w:rsid w:val="00385E57"/>
  </w:style>
  <w:style w:type="character" w:styleId="MenoPendente">
    <w:name w:val="Unresolved Mention"/>
    <w:basedOn w:val="Fontepargpadro"/>
    <w:uiPriority w:val="99"/>
    <w:semiHidden/>
    <w:unhideWhenUsed/>
    <w:rsid w:val="00886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aadis@reitoria.ufrb.edu.b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frb.edu.br/progep/images/Requerimento_de_Exonera%C3%A7%C3%A3o_ou_Vac%C3%A2ncia.doc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ugov.economia.gov.br/sougov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patri.cgu.gov.br/sign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ugpat@proad.ufrb.edu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1917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DA BAHIA</vt:lpstr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BAHIA</dc:title>
  <dc:subject/>
  <dc:creator>ufba</dc:creator>
  <cp:keywords/>
  <cp:lastModifiedBy>Wagner Tavares da Silva</cp:lastModifiedBy>
  <cp:revision>7</cp:revision>
  <cp:lastPrinted>2021-08-18T18:13:00Z</cp:lastPrinted>
  <dcterms:created xsi:type="dcterms:W3CDTF">2021-10-28T00:28:00Z</dcterms:created>
  <dcterms:modified xsi:type="dcterms:W3CDTF">2022-02-07T19:50:00Z</dcterms:modified>
</cp:coreProperties>
</file>