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51E9" w14:textId="77777777" w:rsidR="00005CF2" w:rsidRPr="000752F3" w:rsidRDefault="00005CF2" w:rsidP="00005CF2">
      <w:pPr>
        <w:spacing w:after="0" w:line="240" w:lineRule="auto"/>
        <w:ind w:left="0" w:firstLine="0"/>
        <w:rPr>
          <w:szCs w:val="24"/>
        </w:rPr>
      </w:pPr>
    </w:p>
    <w:p w14:paraId="649B3A40" w14:textId="2F8594B6" w:rsidR="00005CF2" w:rsidRPr="000752F3" w:rsidRDefault="006E3EB4" w:rsidP="00005CF2">
      <w:pPr>
        <w:pStyle w:val="Ttulo1"/>
        <w:spacing w:line="240" w:lineRule="auto"/>
        <w:rPr>
          <w:szCs w:val="24"/>
        </w:rPr>
      </w:pPr>
      <w:r>
        <w:rPr>
          <w:szCs w:val="24"/>
        </w:rPr>
        <w:t>VACÂNCIA POR POSSE EM OUTRO CARGO INACUMULÁVEL</w:t>
      </w:r>
    </w:p>
    <w:p w14:paraId="32168497" w14:textId="77777777" w:rsidR="00005CF2" w:rsidRPr="000752F3" w:rsidRDefault="00005CF2" w:rsidP="00005CF2">
      <w:pPr>
        <w:spacing w:after="0" w:line="240" w:lineRule="auto"/>
        <w:ind w:left="0" w:firstLine="0"/>
        <w:rPr>
          <w:szCs w:val="24"/>
        </w:rPr>
      </w:pPr>
      <w:r w:rsidRPr="000752F3">
        <w:rPr>
          <w:szCs w:val="24"/>
        </w:rPr>
        <w:t xml:space="preserve"> </w:t>
      </w:r>
    </w:p>
    <w:p w14:paraId="24E95871" w14:textId="77777777" w:rsidR="00005CF2" w:rsidRPr="000752F3" w:rsidRDefault="00005CF2" w:rsidP="00005CF2">
      <w:pPr>
        <w:pStyle w:val="Ttulo1"/>
        <w:spacing w:line="240" w:lineRule="auto"/>
        <w:jc w:val="both"/>
        <w:rPr>
          <w:szCs w:val="24"/>
        </w:rPr>
      </w:pPr>
      <w:r w:rsidRPr="000752F3">
        <w:rPr>
          <w:szCs w:val="24"/>
        </w:rPr>
        <w:t>DEFINIÇÃO</w:t>
      </w:r>
    </w:p>
    <w:p w14:paraId="6B17446E" w14:textId="05A171CA" w:rsidR="00545696" w:rsidRDefault="000D70C5" w:rsidP="000D70C5">
      <w:pPr>
        <w:spacing w:after="0" w:line="240" w:lineRule="auto"/>
        <w:ind w:left="0" w:firstLine="0"/>
        <w:rPr>
          <w:szCs w:val="24"/>
        </w:rPr>
      </w:pPr>
      <w:r w:rsidRPr="000752F3">
        <w:rPr>
          <w:szCs w:val="24"/>
        </w:rPr>
        <w:t>Forma de vacância de cargo público, decorre</w:t>
      </w:r>
      <w:r w:rsidRPr="00545696">
        <w:rPr>
          <w:szCs w:val="24"/>
        </w:rPr>
        <w:t>nte</w:t>
      </w:r>
      <w:r w:rsidR="00545696" w:rsidRPr="00545696">
        <w:rPr>
          <w:szCs w:val="24"/>
        </w:rPr>
        <w:t xml:space="preserve"> </w:t>
      </w:r>
      <w:r w:rsidR="00545696" w:rsidRPr="00545696">
        <w:rPr>
          <w:color w:val="202124"/>
          <w:shd w:val="clear" w:color="auto" w:fill="FFFFFF"/>
        </w:rPr>
        <w:t xml:space="preserve">de posse em outro cargo público inacumulável, sem que haja interrupção do tempo de serviço público </w:t>
      </w:r>
      <w:r w:rsidR="00545696">
        <w:rPr>
          <w:color w:val="202124"/>
          <w:shd w:val="clear" w:color="auto" w:fill="FFFFFF"/>
        </w:rPr>
        <w:t>e mantida a relação jurídica estabelecida entre o interessado e a União.</w:t>
      </w:r>
    </w:p>
    <w:p w14:paraId="300F91D9" w14:textId="77777777" w:rsidR="00005CF2" w:rsidRPr="000752F3" w:rsidRDefault="00005CF2" w:rsidP="00005CF2">
      <w:pPr>
        <w:spacing w:after="0" w:line="240" w:lineRule="auto"/>
        <w:ind w:left="0" w:firstLine="0"/>
        <w:rPr>
          <w:b/>
          <w:szCs w:val="24"/>
        </w:rPr>
      </w:pPr>
    </w:p>
    <w:p w14:paraId="605AF87D" w14:textId="351EAC33" w:rsidR="00005CF2" w:rsidRPr="000752F3" w:rsidRDefault="000D70C5" w:rsidP="00005CF2">
      <w:pPr>
        <w:spacing w:after="86"/>
        <w:ind w:left="0" w:firstLine="0"/>
        <w:rPr>
          <w:szCs w:val="24"/>
        </w:rPr>
      </w:pPr>
      <w:r w:rsidRPr="000752F3">
        <w:rPr>
          <w:b/>
          <w:szCs w:val="24"/>
        </w:rPr>
        <w:t>O QUE DEVO SABER?</w:t>
      </w:r>
    </w:p>
    <w:p w14:paraId="76E094D0" w14:textId="7907E402" w:rsidR="00545696" w:rsidRDefault="00804B84" w:rsidP="000D70C5">
      <w:pPr>
        <w:pStyle w:val="PargrafodaLista"/>
        <w:ind w:left="0" w:firstLine="0"/>
        <w:rPr>
          <w:bCs/>
          <w:szCs w:val="24"/>
        </w:rPr>
      </w:pPr>
      <w:r w:rsidRPr="00804B84">
        <w:rPr>
          <w:bCs/>
          <w:szCs w:val="24"/>
        </w:rPr>
        <w:t>A vacância por posse em cargo inacumulável dar-se-á somente em relação a servidores vinculados à Lei 8.112/90 (Regime Jurídico dos Servidores Públicos Civis da União, das autarquias e das fundações públicas federais). Não podendo ser concedida a vacância por motivo de nomeação para emprego público.</w:t>
      </w:r>
    </w:p>
    <w:p w14:paraId="3EC326B3" w14:textId="5FB0722C" w:rsidR="00262CE2" w:rsidRDefault="00262CE2" w:rsidP="000D70C5">
      <w:pPr>
        <w:pStyle w:val="PargrafodaLista"/>
        <w:ind w:left="0" w:firstLine="0"/>
        <w:rPr>
          <w:bCs/>
          <w:szCs w:val="24"/>
        </w:rPr>
      </w:pPr>
    </w:p>
    <w:p w14:paraId="0F18F753" w14:textId="10E1E0DE" w:rsidR="00262CE2" w:rsidRDefault="00262CE2" w:rsidP="000D70C5">
      <w:pPr>
        <w:pStyle w:val="PargrafodaLista"/>
        <w:ind w:left="0" w:firstLine="0"/>
        <w:rPr>
          <w:bCs/>
          <w:szCs w:val="24"/>
        </w:rPr>
      </w:pPr>
      <w:r w:rsidRPr="00262CE2">
        <w:rPr>
          <w:bCs/>
          <w:szCs w:val="24"/>
        </w:rPr>
        <w:t xml:space="preserve">A data da vacância deve </w:t>
      </w:r>
      <w:r>
        <w:rPr>
          <w:bCs/>
          <w:szCs w:val="24"/>
        </w:rPr>
        <w:t xml:space="preserve">ser a mesma </w:t>
      </w:r>
      <w:r w:rsidRPr="00262CE2">
        <w:rPr>
          <w:bCs/>
          <w:szCs w:val="24"/>
        </w:rPr>
        <w:t>da posse</w:t>
      </w:r>
      <w:r>
        <w:rPr>
          <w:bCs/>
          <w:szCs w:val="24"/>
        </w:rPr>
        <w:t xml:space="preserve"> e exercício</w:t>
      </w:r>
      <w:r w:rsidRPr="00262CE2">
        <w:rPr>
          <w:bCs/>
          <w:szCs w:val="24"/>
        </w:rPr>
        <w:t xml:space="preserve"> no novo cargo. Dessa forma, não haverá interrupção de vínculo com o serviço público federal, nem ocorrerá acumulação indevida de cargos públicos.</w:t>
      </w:r>
    </w:p>
    <w:p w14:paraId="2F51BC0C" w14:textId="6DA7EF20" w:rsidR="00804B84" w:rsidRDefault="00804B84" w:rsidP="000D70C5">
      <w:pPr>
        <w:pStyle w:val="PargrafodaLista"/>
        <w:ind w:left="0" w:firstLine="0"/>
        <w:rPr>
          <w:bCs/>
          <w:szCs w:val="24"/>
        </w:rPr>
      </w:pPr>
    </w:p>
    <w:p w14:paraId="5E8D8580" w14:textId="642F7DB0" w:rsidR="00804B84" w:rsidRDefault="00804B84" w:rsidP="00804B84">
      <w:pPr>
        <w:pStyle w:val="PargrafodaLista"/>
        <w:ind w:left="0" w:firstLine="0"/>
        <w:rPr>
          <w:bCs/>
          <w:szCs w:val="24"/>
        </w:rPr>
      </w:pPr>
      <w:r w:rsidRPr="00804B84">
        <w:rPr>
          <w:bCs/>
          <w:szCs w:val="24"/>
        </w:rPr>
        <w:t>O servidor estável que tomar posse em outro cargo público inacumulável poderá ser reconduzido ao antigo cargo, desde que não seja aprovado no estágio probatório e não obtenha estabilidade</w:t>
      </w:r>
      <w:r>
        <w:rPr>
          <w:bCs/>
          <w:szCs w:val="24"/>
        </w:rPr>
        <w:t xml:space="preserve"> no novo cargo</w:t>
      </w:r>
      <w:r w:rsidRPr="00804B84">
        <w:rPr>
          <w:bCs/>
          <w:szCs w:val="24"/>
        </w:rPr>
        <w:t>.</w:t>
      </w:r>
    </w:p>
    <w:p w14:paraId="56CD58E2" w14:textId="1ED7BC7E" w:rsidR="00262CE2" w:rsidRDefault="00262CE2" w:rsidP="00804B84">
      <w:pPr>
        <w:pStyle w:val="PargrafodaLista"/>
        <w:ind w:left="0" w:firstLine="0"/>
        <w:rPr>
          <w:bCs/>
          <w:szCs w:val="24"/>
        </w:rPr>
      </w:pPr>
    </w:p>
    <w:p w14:paraId="6060443F" w14:textId="2F87D891" w:rsidR="00262CE2" w:rsidRDefault="00262CE2" w:rsidP="00804B84">
      <w:pPr>
        <w:pStyle w:val="PargrafodaLista"/>
        <w:ind w:left="0" w:firstLine="0"/>
        <w:rPr>
          <w:bCs/>
          <w:szCs w:val="24"/>
        </w:rPr>
      </w:pPr>
      <w:r w:rsidRPr="00262CE2">
        <w:rPr>
          <w:bCs/>
          <w:szCs w:val="24"/>
        </w:rPr>
        <w:t>O servidor poderá usufruir as férias já adquiridas e perceber a gratificação natalina no novo cargo, desde que não haja interrupção do exercício. Assim, em virtude do ato de vacância, não será devida a indenização de férias não gozadas ou o pagamento proporcional da gratificação natalina.</w:t>
      </w:r>
    </w:p>
    <w:p w14:paraId="12C9397F" w14:textId="4CAF7BED" w:rsidR="00262CE2" w:rsidRDefault="00262CE2" w:rsidP="00804B84">
      <w:pPr>
        <w:pStyle w:val="PargrafodaLista"/>
        <w:ind w:left="0" w:firstLine="0"/>
        <w:rPr>
          <w:bCs/>
          <w:szCs w:val="24"/>
        </w:rPr>
      </w:pPr>
    </w:p>
    <w:p w14:paraId="336356A2" w14:textId="77777777" w:rsidR="00262CE2" w:rsidRDefault="00262CE2" w:rsidP="00262CE2">
      <w:pPr>
        <w:pStyle w:val="PargrafodaLista"/>
        <w:ind w:left="0" w:firstLine="0"/>
        <w:rPr>
          <w:bCs/>
          <w:szCs w:val="24"/>
        </w:rPr>
      </w:pPr>
      <w:r w:rsidRPr="00262CE2">
        <w:rPr>
          <w:bCs/>
          <w:szCs w:val="24"/>
        </w:rPr>
        <w:t>Ao servidor é facultada a escolha da forma de vacância (exoneração a pedido ou posse em outro cargo inacumulável), em vista da mudança de cargo, diferenciando-se os institutos apenas nos efeitos.</w:t>
      </w:r>
    </w:p>
    <w:p w14:paraId="0332152F" w14:textId="77777777" w:rsidR="00262CE2" w:rsidRPr="000752F3" w:rsidRDefault="00262CE2" w:rsidP="00804B84">
      <w:pPr>
        <w:pStyle w:val="PargrafodaLista"/>
        <w:ind w:left="0" w:firstLine="0"/>
        <w:rPr>
          <w:bCs/>
          <w:szCs w:val="24"/>
        </w:rPr>
      </w:pPr>
    </w:p>
    <w:p w14:paraId="4D427441" w14:textId="7DF36696" w:rsidR="008166DB" w:rsidRPr="000752F3" w:rsidRDefault="008166DB" w:rsidP="008166DB">
      <w:pPr>
        <w:spacing w:after="86"/>
        <w:ind w:left="0" w:firstLine="0"/>
        <w:rPr>
          <w:b/>
          <w:szCs w:val="24"/>
        </w:rPr>
      </w:pPr>
      <w:r w:rsidRPr="000752F3">
        <w:rPr>
          <w:b/>
          <w:szCs w:val="24"/>
        </w:rPr>
        <w:t xml:space="preserve">O que devo fazer para solicitar </w:t>
      </w:r>
      <w:r w:rsidR="00804B84">
        <w:rPr>
          <w:b/>
          <w:szCs w:val="24"/>
        </w:rPr>
        <w:t>vacância</w:t>
      </w:r>
      <w:r w:rsidRPr="000752F3">
        <w:rPr>
          <w:b/>
          <w:szCs w:val="24"/>
        </w:rPr>
        <w:t>?</w:t>
      </w:r>
    </w:p>
    <w:p w14:paraId="10774F5C" w14:textId="2ACB5B1E" w:rsidR="008166DB" w:rsidRDefault="008166DB" w:rsidP="008166DB">
      <w:pPr>
        <w:rPr>
          <w:color w:val="000000" w:themeColor="text1"/>
          <w:szCs w:val="24"/>
        </w:rPr>
      </w:pPr>
      <w:r w:rsidRPr="00886BB7">
        <w:rPr>
          <w:color w:val="000000" w:themeColor="text1"/>
          <w:szCs w:val="24"/>
        </w:rPr>
        <w:t xml:space="preserve">1. Solicitação do interessado, (preencher formulário próprio, disponível </w:t>
      </w:r>
      <w:hyperlink r:id="rId7" w:history="1">
        <w:r w:rsidR="00292AE2" w:rsidRPr="00292AE2">
          <w:rPr>
            <w:rStyle w:val="Hyperlink"/>
            <w:szCs w:val="24"/>
          </w:rPr>
          <w:t>aqui</w:t>
        </w:r>
      </w:hyperlink>
      <w:r w:rsidRPr="00886BB7">
        <w:rPr>
          <w:color w:val="000000" w:themeColor="text1"/>
          <w:szCs w:val="24"/>
        </w:rPr>
        <w:t>;</w:t>
      </w:r>
    </w:p>
    <w:p w14:paraId="65E1DB60" w14:textId="42A1344F" w:rsidR="006E3EB4" w:rsidRPr="00886BB7" w:rsidRDefault="006E3EB4" w:rsidP="008166DB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2. </w:t>
      </w:r>
      <w:r w:rsidRPr="006E3EB4">
        <w:rPr>
          <w:color w:val="000000" w:themeColor="text1"/>
          <w:szCs w:val="24"/>
        </w:rPr>
        <w:t>Publicação ato de nomeação do servidor em novo cargo público;</w:t>
      </w:r>
    </w:p>
    <w:p w14:paraId="4C555578" w14:textId="3C045141" w:rsidR="008166DB" w:rsidRPr="000752F3" w:rsidRDefault="006E3EB4" w:rsidP="008166DB">
      <w:pPr>
        <w:rPr>
          <w:szCs w:val="24"/>
        </w:rPr>
      </w:pPr>
      <w:r>
        <w:rPr>
          <w:szCs w:val="24"/>
        </w:rPr>
        <w:t>3</w:t>
      </w:r>
      <w:r w:rsidR="008166DB" w:rsidRPr="000752F3">
        <w:rPr>
          <w:szCs w:val="24"/>
        </w:rPr>
        <w:t>. Apresentar Declaração de Débito Patrimonial</w:t>
      </w:r>
      <w:r w:rsidR="00452727" w:rsidRPr="000752F3">
        <w:rPr>
          <w:szCs w:val="24"/>
        </w:rPr>
        <w:t xml:space="preserve"> (Nada Consta)</w:t>
      </w:r>
      <w:r w:rsidR="008166DB" w:rsidRPr="000752F3">
        <w:rPr>
          <w:szCs w:val="24"/>
        </w:rPr>
        <w:t xml:space="preserve"> (</w:t>
      </w:r>
      <w:r w:rsidR="00385E57" w:rsidRPr="000752F3">
        <w:rPr>
          <w:szCs w:val="24"/>
        </w:rPr>
        <w:t xml:space="preserve">solicitar ao Núcleo de Gestão de Patrimônio da PROAD, </w:t>
      </w:r>
      <w:hyperlink r:id="rId8" w:history="1">
        <w:r w:rsidR="00385E57" w:rsidRPr="000752F3">
          <w:rPr>
            <w:rStyle w:val="Hyperlink"/>
            <w:szCs w:val="24"/>
          </w:rPr>
          <w:t>nugpat@proad.ufrb.edu.br</w:t>
        </w:r>
      </w:hyperlink>
      <w:r w:rsidR="00385E57" w:rsidRPr="000752F3">
        <w:rPr>
          <w:rStyle w:val="Hyperlink"/>
          <w:szCs w:val="24"/>
        </w:rPr>
        <w:t>);</w:t>
      </w:r>
    </w:p>
    <w:p w14:paraId="6541D461" w14:textId="0BD95D36" w:rsidR="008166DB" w:rsidRPr="000752F3" w:rsidRDefault="006E3EB4" w:rsidP="008166DB">
      <w:pPr>
        <w:rPr>
          <w:szCs w:val="24"/>
        </w:rPr>
      </w:pPr>
      <w:r>
        <w:rPr>
          <w:szCs w:val="24"/>
        </w:rPr>
        <w:t>4</w:t>
      </w:r>
      <w:r w:rsidR="008166DB" w:rsidRPr="000752F3">
        <w:rPr>
          <w:szCs w:val="24"/>
        </w:rPr>
        <w:t>. Apresentar Declaração de regularidade da Biblioteca Central ou Setorial;</w:t>
      </w:r>
    </w:p>
    <w:p w14:paraId="4D244DAA" w14:textId="37F6A853" w:rsidR="008166DB" w:rsidRPr="000752F3" w:rsidRDefault="006E3EB4" w:rsidP="008166DB">
      <w:pPr>
        <w:rPr>
          <w:szCs w:val="24"/>
        </w:rPr>
      </w:pPr>
      <w:r>
        <w:rPr>
          <w:szCs w:val="24"/>
        </w:rPr>
        <w:t>5</w:t>
      </w:r>
      <w:r w:rsidR="008166DB" w:rsidRPr="000752F3">
        <w:rPr>
          <w:szCs w:val="24"/>
        </w:rPr>
        <w:t xml:space="preserve">. </w:t>
      </w:r>
      <w:r w:rsidR="00F41C38">
        <w:rPr>
          <w:szCs w:val="24"/>
        </w:rPr>
        <w:t xml:space="preserve">Anexar recibo do termo da autorização de acesso aos dados de bens e rendas, através do </w:t>
      </w:r>
      <w:hyperlink r:id="rId9" w:history="1">
        <w:r w:rsidR="00F41C38">
          <w:rPr>
            <w:rStyle w:val="Hyperlink"/>
            <w:szCs w:val="24"/>
          </w:rPr>
          <w:t>e-</w:t>
        </w:r>
        <w:proofErr w:type="spellStart"/>
        <w:r w:rsidR="00F41C38">
          <w:rPr>
            <w:rStyle w:val="Hyperlink"/>
            <w:szCs w:val="24"/>
          </w:rPr>
          <w:t>Patri</w:t>
        </w:r>
        <w:proofErr w:type="spellEnd"/>
      </w:hyperlink>
      <w:r w:rsidR="00F41C38">
        <w:rPr>
          <w:szCs w:val="24"/>
        </w:rPr>
        <w:t xml:space="preserve"> ou do </w:t>
      </w:r>
      <w:hyperlink r:id="rId10" w:history="1">
        <w:proofErr w:type="spellStart"/>
        <w:r w:rsidR="00F41C38">
          <w:rPr>
            <w:rStyle w:val="Hyperlink"/>
            <w:szCs w:val="24"/>
          </w:rPr>
          <w:t>SouGov</w:t>
        </w:r>
        <w:proofErr w:type="spellEnd"/>
      </w:hyperlink>
      <w:r w:rsidR="008166DB" w:rsidRPr="000752F3">
        <w:rPr>
          <w:szCs w:val="24"/>
        </w:rPr>
        <w:t>;</w:t>
      </w:r>
    </w:p>
    <w:p w14:paraId="04C45C09" w14:textId="77777777" w:rsidR="008166DB" w:rsidRPr="000752F3" w:rsidRDefault="008166DB" w:rsidP="008166DB">
      <w:pPr>
        <w:rPr>
          <w:szCs w:val="24"/>
        </w:rPr>
      </w:pPr>
    </w:p>
    <w:p w14:paraId="684201B2" w14:textId="2DD8DED7" w:rsidR="00005CF2" w:rsidRPr="000752F3" w:rsidRDefault="00005CF2" w:rsidP="00005CF2">
      <w:pPr>
        <w:pStyle w:val="Ttulo1"/>
        <w:spacing w:line="240" w:lineRule="auto"/>
        <w:jc w:val="both"/>
        <w:rPr>
          <w:szCs w:val="24"/>
        </w:rPr>
      </w:pPr>
      <w:r w:rsidRPr="000752F3">
        <w:rPr>
          <w:szCs w:val="24"/>
        </w:rPr>
        <w:t>BASE LEGAL</w:t>
      </w:r>
    </w:p>
    <w:p w14:paraId="56ECF8F1" w14:textId="217A951F" w:rsidR="000D70C5" w:rsidRPr="000D70C5" w:rsidRDefault="00350CC5" w:rsidP="000D70C5">
      <w:pPr>
        <w:spacing w:after="0" w:line="240" w:lineRule="auto"/>
        <w:ind w:left="0" w:firstLine="0"/>
        <w:rPr>
          <w:color w:val="0070C0"/>
          <w:sz w:val="18"/>
          <w:szCs w:val="18"/>
        </w:rPr>
      </w:pPr>
      <w:hyperlink r:id="rId11" w:history="1">
        <w:r w:rsidR="000D70C5" w:rsidRPr="006E3EB4">
          <w:rPr>
            <w:rStyle w:val="Hyperlink"/>
            <w:sz w:val="18"/>
            <w:szCs w:val="18"/>
          </w:rPr>
          <w:t xml:space="preserve">Art. </w:t>
        </w:r>
        <w:r w:rsidR="006E3EB4" w:rsidRPr="006E3EB4">
          <w:rPr>
            <w:rStyle w:val="Hyperlink"/>
            <w:sz w:val="18"/>
            <w:szCs w:val="18"/>
          </w:rPr>
          <w:t>33</w:t>
        </w:r>
        <w:r w:rsidR="000D70C5" w:rsidRPr="006E3EB4">
          <w:rPr>
            <w:rStyle w:val="Hyperlink"/>
            <w:sz w:val="18"/>
            <w:szCs w:val="18"/>
          </w:rPr>
          <w:t xml:space="preserve"> da Lei nº 8.112/90</w:t>
        </w:r>
      </w:hyperlink>
    </w:p>
    <w:p w14:paraId="7616881C" w14:textId="03BCA33B" w:rsidR="000D70C5" w:rsidRDefault="00350CC5" w:rsidP="000D70C5">
      <w:pPr>
        <w:spacing w:after="0" w:line="240" w:lineRule="auto"/>
        <w:ind w:left="0" w:firstLine="0"/>
        <w:rPr>
          <w:color w:val="0070C0"/>
          <w:sz w:val="18"/>
          <w:szCs w:val="18"/>
        </w:rPr>
      </w:pPr>
      <w:hyperlink r:id="rId12" w:history="1">
        <w:r w:rsidR="000D70C5" w:rsidRPr="006E3EB4">
          <w:rPr>
            <w:rStyle w:val="Hyperlink"/>
            <w:sz w:val="18"/>
            <w:szCs w:val="18"/>
          </w:rPr>
          <w:t>Orientação Normativa SE</w:t>
        </w:r>
        <w:r w:rsidR="006E3EB4" w:rsidRPr="006E3EB4">
          <w:rPr>
            <w:rStyle w:val="Hyperlink"/>
            <w:sz w:val="18"/>
            <w:szCs w:val="18"/>
          </w:rPr>
          <w:t>G</w:t>
        </w:r>
        <w:r w:rsidR="000D70C5" w:rsidRPr="006E3EB4">
          <w:rPr>
            <w:rStyle w:val="Hyperlink"/>
            <w:sz w:val="18"/>
            <w:szCs w:val="18"/>
          </w:rPr>
          <w:t>EP/MPOG N°3/2013</w:t>
        </w:r>
      </w:hyperlink>
    </w:p>
    <w:p w14:paraId="4A944E5F" w14:textId="3BBE842B" w:rsidR="00262CE2" w:rsidRPr="000D70C5" w:rsidRDefault="00350CC5" w:rsidP="000D70C5">
      <w:pPr>
        <w:spacing w:after="0" w:line="240" w:lineRule="auto"/>
        <w:ind w:left="0" w:firstLine="0"/>
        <w:rPr>
          <w:color w:val="0070C0"/>
          <w:sz w:val="18"/>
          <w:szCs w:val="18"/>
        </w:rPr>
      </w:pPr>
      <w:hyperlink r:id="rId13" w:history="1">
        <w:r w:rsidR="00262CE2" w:rsidRPr="006E3EB4">
          <w:rPr>
            <w:rStyle w:val="Hyperlink"/>
            <w:sz w:val="18"/>
            <w:szCs w:val="18"/>
          </w:rPr>
          <w:t>Ofício-Circular SRH/MP nº 83/2002</w:t>
        </w:r>
      </w:hyperlink>
    </w:p>
    <w:sectPr w:rsidR="00262CE2" w:rsidRPr="000D70C5">
      <w:headerReference w:type="default" r:id="rId14"/>
      <w:footerReference w:type="default" r:id="rId15"/>
      <w:pgSz w:w="11906" w:h="16841"/>
      <w:pgMar w:top="720" w:right="1129" w:bottom="71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2F9A" w14:textId="77777777" w:rsidR="00350CC5" w:rsidRDefault="00350CC5" w:rsidP="008A0154">
      <w:pPr>
        <w:spacing w:after="0" w:line="240" w:lineRule="auto"/>
      </w:pPr>
      <w:r>
        <w:separator/>
      </w:r>
    </w:p>
  </w:endnote>
  <w:endnote w:type="continuationSeparator" w:id="0">
    <w:p w14:paraId="29AE64AF" w14:textId="77777777" w:rsidR="00350CC5" w:rsidRDefault="00350CC5" w:rsidP="008A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610C" w14:textId="77777777" w:rsidR="008A0154" w:rsidRPr="000B38B9" w:rsidRDefault="008A0154" w:rsidP="008A0154">
    <w:pPr>
      <w:pStyle w:val="Rodap"/>
      <w:pBdr>
        <w:top w:val="threeDEngrave" w:sz="24" w:space="1" w:color="auto"/>
      </w:pBdr>
      <w:jc w:val="center"/>
      <w:rPr>
        <w:sz w:val="20"/>
        <w:szCs w:val="20"/>
      </w:rPr>
    </w:pPr>
    <w:r w:rsidRPr="000B38B9">
      <w:rPr>
        <w:sz w:val="20"/>
        <w:szCs w:val="20"/>
      </w:rPr>
      <w:t>Campus Universitário de Cruz das Almas, s/n – CEP: 44.380.000 – Cruz das Almas – B</w:t>
    </w:r>
    <w:r>
      <w:rPr>
        <w:sz w:val="20"/>
        <w:szCs w:val="20"/>
      </w:rPr>
      <w:t>A</w:t>
    </w:r>
    <w:r w:rsidRPr="000B38B9">
      <w:rPr>
        <w:sz w:val="20"/>
        <w:szCs w:val="20"/>
      </w:rPr>
      <w:t>.</w:t>
    </w:r>
  </w:p>
  <w:p w14:paraId="22A362D5" w14:textId="7774A216" w:rsidR="008A0154" w:rsidRPr="008A0154" w:rsidRDefault="008A0154" w:rsidP="008A0154">
    <w:pPr>
      <w:pStyle w:val="Rodap"/>
      <w:pBdr>
        <w:top w:val="threeDEngrave" w:sz="24" w:space="1" w:color="auto"/>
      </w:pBdr>
      <w:jc w:val="center"/>
      <w:rPr>
        <w:sz w:val="20"/>
        <w:szCs w:val="20"/>
        <w:lang w:val="en-US"/>
      </w:rPr>
    </w:pPr>
    <w:r w:rsidRPr="000B38B9">
      <w:rPr>
        <w:sz w:val="20"/>
        <w:szCs w:val="20"/>
        <w:lang w:val="en-US"/>
      </w:rPr>
      <w:t>Tel.: (75) 36</w:t>
    </w:r>
    <w:r>
      <w:rPr>
        <w:sz w:val="20"/>
        <w:szCs w:val="20"/>
        <w:lang w:val="en-US"/>
      </w:rPr>
      <w:t>73-0552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19181" w14:textId="77777777" w:rsidR="00350CC5" w:rsidRDefault="00350CC5" w:rsidP="008A0154">
      <w:pPr>
        <w:spacing w:after="0" w:line="240" w:lineRule="auto"/>
      </w:pPr>
      <w:r>
        <w:separator/>
      </w:r>
    </w:p>
  </w:footnote>
  <w:footnote w:type="continuationSeparator" w:id="0">
    <w:p w14:paraId="5DB93199" w14:textId="77777777" w:rsidR="00350CC5" w:rsidRDefault="00350CC5" w:rsidP="008A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108F" w14:textId="77777777" w:rsidR="008A0154" w:rsidRDefault="008A0154" w:rsidP="008A0154">
    <w:pPr>
      <w:spacing w:after="0" w:line="240" w:lineRule="auto"/>
      <w:ind w:left="0" w:firstLine="0"/>
      <w:jc w:val="center"/>
    </w:pPr>
    <w:bookmarkStart w:id="0" w:name="_Hlk80191345"/>
    <w:bookmarkStart w:id="1" w:name="_Hlk80191346"/>
    <w:r>
      <w:rPr>
        <w:noProof/>
      </w:rPr>
      <w:drawing>
        <wp:inline distT="0" distB="0" distL="0" distR="0" wp14:anchorId="556C8403" wp14:editId="3F1139BC">
          <wp:extent cx="790575" cy="390525"/>
          <wp:effectExtent l="0" t="0" r="952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BC42055" w14:textId="77777777" w:rsidR="008A0154" w:rsidRDefault="008A0154" w:rsidP="008A0154">
    <w:pPr>
      <w:spacing w:after="0" w:line="240" w:lineRule="auto"/>
      <w:ind w:left="0" w:firstLine="0"/>
      <w:jc w:val="center"/>
    </w:pPr>
    <w:r>
      <w:t>MINISTÉRIO DA EDUCAÇÃO</w:t>
    </w:r>
  </w:p>
  <w:p w14:paraId="6E19234F" w14:textId="77777777" w:rsidR="008A0154" w:rsidRDefault="008A0154" w:rsidP="008A0154">
    <w:pPr>
      <w:spacing w:after="0" w:line="240" w:lineRule="auto"/>
      <w:ind w:left="0" w:firstLine="0"/>
      <w:jc w:val="center"/>
    </w:pPr>
    <w:r>
      <w:t>UNIVERSIDADE FEDERAL DO RECÔNCAVO DA BAHIA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B3C"/>
    <w:multiLevelType w:val="hybridMultilevel"/>
    <w:tmpl w:val="C178C4E6"/>
    <w:lvl w:ilvl="0" w:tplc="21C6211C">
      <w:start w:val="1"/>
      <w:numFmt w:val="upperRoman"/>
      <w:lvlText w:val="%1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A1148">
      <w:start w:val="1"/>
      <w:numFmt w:val="decimal"/>
      <w:lvlText w:val="%2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409E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640FA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3E6F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8EE39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08A24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FE771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60628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086551"/>
    <w:multiLevelType w:val="hybridMultilevel"/>
    <w:tmpl w:val="A198F7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31B44"/>
    <w:multiLevelType w:val="hybridMultilevel"/>
    <w:tmpl w:val="5142DF76"/>
    <w:lvl w:ilvl="0" w:tplc="65B8C4AA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20988E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5EC752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C8B02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C3802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2487A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5622D4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D47F64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52C0D2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79298D"/>
    <w:multiLevelType w:val="hybridMultilevel"/>
    <w:tmpl w:val="5FF0D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audfJCMTI3ru0eUNXGk0j1mNHYR0teiblyksNOFtQcQMM/g7y9FTdYomT1tmqMFrGwPFePJZSKJEUDhW6vCk9A==" w:salt="OQ5Scz7wB4l8kaMrheqx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94"/>
    <w:rsid w:val="00005CF2"/>
    <w:rsid w:val="000752F3"/>
    <w:rsid w:val="000D70C5"/>
    <w:rsid w:val="000E1672"/>
    <w:rsid w:val="00236856"/>
    <w:rsid w:val="00262CE2"/>
    <w:rsid w:val="00292AE2"/>
    <w:rsid w:val="00350CC5"/>
    <w:rsid w:val="00385E57"/>
    <w:rsid w:val="00452727"/>
    <w:rsid w:val="004F26DB"/>
    <w:rsid w:val="0054480A"/>
    <w:rsid w:val="00545696"/>
    <w:rsid w:val="0068189C"/>
    <w:rsid w:val="006E3EB4"/>
    <w:rsid w:val="007E701A"/>
    <w:rsid w:val="00804B84"/>
    <w:rsid w:val="008166DB"/>
    <w:rsid w:val="00843011"/>
    <w:rsid w:val="00886BB7"/>
    <w:rsid w:val="008A0154"/>
    <w:rsid w:val="008C64BB"/>
    <w:rsid w:val="009D31B3"/>
    <w:rsid w:val="00A32985"/>
    <w:rsid w:val="00A731EA"/>
    <w:rsid w:val="00B24126"/>
    <w:rsid w:val="00B630F6"/>
    <w:rsid w:val="00B72879"/>
    <w:rsid w:val="00BC491C"/>
    <w:rsid w:val="00BC5C4D"/>
    <w:rsid w:val="00BE0B56"/>
    <w:rsid w:val="00C636CF"/>
    <w:rsid w:val="00CD4694"/>
    <w:rsid w:val="00E251DE"/>
    <w:rsid w:val="00E51AF5"/>
    <w:rsid w:val="00EB2687"/>
    <w:rsid w:val="00F17D41"/>
    <w:rsid w:val="00F4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8097"/>
  <w15:docId w15:val="{8F668C97-08EA-461B-B00F-29F18E40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8" w:line="250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8A0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154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nhideWhenUsed/>
    <w:rsid w:val="008A0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A0154"/>
    <w:rPr>
      <w:rFonts w:ascii="Arial" w:eastAsia="Arial" w:hAnsi="Arial" w:cs="Arial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8A015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C5C4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7287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72879"/>
    <w:rPr>
      <w:color w:val="954F72" w:themeColor="followedHyperlink"/>
      <w:u w:val="single"/>
    </w:rPr>
  </w:style>
  <w:style w:type="character" w:customStyle="1" w:styleId="go">
    <w:name w:val="go"/>
    <w:basedOn w:val="Fontepargpadro"/>
    <w:rsid w:val="00385E57"/>
  </w:style>
  <w:style w:type="character" w:styleId="MenoPendente">
    <w:name w:val="Unresolved Mention"/>
    <w:basedOn w:val="Fontepargpadro"/>
    <w:uiPriority w:val="99"/>
    <w:semiHidden/>
    <w:unhideWhenUsed/>
    <w:rsid w:val="00886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gpat@proad.ufrb.edu.br" TargetMode="External"/><Relationship Id="rId13" Type="http://schemas.openxmlformats.org/officeDocument/2006/relationships/hyperlink" Target="https://legis.sigepe.planejamento.gov.br/sigepe-bgp-ws-legis/legis-service/download/?id=0000373010-ALPDF/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frb.edu.br/progep/images/Requerimento_de_Exonera%C3%A7%C3%A3o_ou_Vac%C3%A2ncia.docx" TargetMode="External"/><Relationship Id="rId12" Type="http://schemas.openxmlformats.org/officeDocument/2006/relationships/hyperlink" Target="https://legis.sigepe.planejamento.gov.br/sigepe-bgp-ws-legis/legis-service/download/?id=0000358324-ALPDF/201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leis/l8112cons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ougov.economia.gov.br/sou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atri.cgu.gov.br/signi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2288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BAHIA</vt:lpstr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BAHIA</dc:title>
  <dc:subject/>
  <dc:creator>ufba</dc:creator>
  <cp:keywords/>
  <cp:lastModifiedBy>Wagner Tavares da Silva</cp:lastModifiedBy>
  <cp:revision>3</cp:revision>
  <cp:lastPrinted>2021-08-18T18:13:00Z</cp:lastPrinted>
  <dcterms:created xsi:type="dcterms:W3CDTF">2022-02-07T19:57:00Z</dcterms:created>
  <dcterms:modified xsi:type="dcterms:W3CDTF">2022-02-07T20:12:00Z</dcterms:modified>
</cp:coreProperties>
</file>